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88" w:type="dxa"/>
        <w:tblInd w:w="-698" w:type="dxa"/>
        <w:tblLook w:val="01E0"/>
      </w:tblPr>
      <w:tblGrid>
        <w:gridCol w:w="4581"/>
        <w:gridCol w:w="6107"/>
      </w:tblGrid>
      <w:tr w:rsidR="008F000C" w:rsidRPr="007C4161" w:rsidTr="008F000C">
        <w:trPr>
          <w:trHeight w:val="1432"/>
        </w:trPr>
        <w:tc>
          <w:tcPr>
            <w:tcW w:w="4581" w:type="dxa"/>
          </w:tcPr>
          <w:p w:rsidR="008F000C" w:rsidRPr="007C4161" w:rsidRDefault="008F000C" w:rsidP="00AB05C0">
            <w:pPr>
              <w:keepNext/>
              <w:spacing w:before="40" w:line="240" w:lineRule="auto"/>
              <w:ind w:firstLine="0"/>
              <w:jc w:val="center"/>
              <w:outlineLvl w:val="5"/>
              <w:rPr>
                <w:b/>
                <w:bCs/>
                <w:color w:val="000000"/>
              </w:rPr>
            </w:pPr>
            <w:r w:rsidRPr="007C4161">
              <w:br w:type="page"/>
            </w:r>
            <w:r w:rsidRPr="007C4161">
              <w:rPr>
                <w:b/>
                <w:bCs/>
                <w:color w:val="000000"/>
              </w:rPr>
              <w:t>BỘ KHOA HỌC VÀ CÔNG NGHỆ</w:t>
            </w:r>
          </w:p>
          <w:p w:rsidR="008F000C" w:rsidRPr="007C4161" w:rsidRDefault="008F000C" w:rsidP="00AB05C0">
            <w:pPr>
              <w:spacing w:before="0" w:line="240" w:lineRule="auto"/>
              <w:ind w:firstLine="0"/>
              <w:jc w:val="center"/>
              <w:rPr>
                <w:color w:val="000000"/>
              </w:rPr>
            </w:pPr>
            <w:r w:rsidRPr="007C4161">
              <w:rPr>
                <w:rFonts w:ascii=".VnTime" w:hAnsi=".VnTime"/>
                <w:color w:val="000000"/>
              </w:rPr>
              <w:pict>
                <v:line id="_x0000_s1026" style="position:absolute;left:0;text-align:left;z-index:251660288" from="44.35pt,3.4pt" to="156.95pt,3.4pt"/>
              </w:pict>
            </w:r>
          </w:p>
          <w:p w:rsidR="008F000C" w:rsidRPr="007C4161" w:rsidRDefault="008F000C" w:rsidP="00AB05C0">
            <w:pPr>
              <w:spacing w:before="0" w:line="240" w:lineRule="auto"/>
              <w:ind w:firstLine="0"/>
              <w:jc w:val="center"/>
              <w:rPr>
                <w:color w:val="000000"/>
              </w:rPr>
            </w:pPr>
            <w:r w:rsidRPr="007C4161">
              <w:rPr>
                <w:color w:val="000000"/>
              </w:rPr>
              <w:t>Số:2137/QĐ-BKHCN</w:t>
            </w:r>
            <w:r w:rsidRPr="007C4161">
              <w:rPr>
                <w:noProof/>
                <w:color w:val="000000"/>
              </w:rPr>
              <w:t xml:space="preserve"> </w:t>
            </w:r>
          </w:p>
        </w:tc>
        <w:tc>
          <w:tcPr>
            <w:tcW w:w="6107" w:type="dxa"/>
          </w:tcPr>
          <w:p w:rsidR="008F000C" w:rsidRPr="007C4161" w:rsidRDefault="008F000C" w:rsidP="00AB05C0">
            <w:pPr>
              <w:spacing w:before="0" w:line="240" w:lineRule="auto"/>
              <w:ind w:left="-101" w:right="-109" w:firstLine="0"/>
              <w:jc w:val="center"/>
              <w:rPr>
                <w:b/>
                <w:color w:val="000000"/>
              </w:rPr>
            </w:pPr>
            <w:r w:rsidRPr="007C4161">
              <w:rPr>
                <w:b/>
                <w:color w:val="000000"/>
              </w:rPr>
              <w:t>CỘNG HOÀ XÃ HỘI CHỦ NGHĨA VIỆT NAM</w:t>
            </w:r>
          </w:p>
          <w:p w:rsidR="008F000C" w:rsidRPr="007C4161" w:rsidRDefault="008F000C" w:rsidP="00AB05C0">
            <w:pPr>
              <w:spacing w:before="0" w:line="240" w:lineRule="auto"/>
              <w:ind w:left="-101" w:firstLine="0"/>
              <w:jc w:val="center"/>
              <w:rPr>
                <w:b/>
                <w:color w:val="000000"/>
              </w:rPr>
            </w:pPr>
            <w:r w:rsidRPr="007C4161">
              <w:rPr>
                <w:b/>
                <w:color w:val="000000"/>
              </w:rPr>
              <w:t>Độc lập - Tự do - Hạnh phúc</w:t>
            </w:r>
          </w:p>
          <w:p w:rsidR="008F000C" w:rsidRPr="007C4161" w:rsidRDefault="008F000C" w:rsidP="00AB05C0">
            <w:pPr>
              <w:spacing w:before="0" w:line="240" w:lineRule="auto"/>
              <w:ind w:left="-101" w:firstLine="0"/>
              <w:jc w:val="left"/>
              <w:rPr>
                <w:b/>
                <w:color w:val="000000"/>
              </w:rPr>
            </w:pPr>
            <w:r w:rsidRPr="007C4161">
              <w:rPr>
                <w:rFonts w:ascii=".VnTime" w:hAnsi=".VnTime"/>
                <w:color w:val="000000"/>
              </w:rPr>
              <w:pict>
                <v:line id="_x0000_s1027" style="position:absolute;left:0;text-align:left;z-index:251661312" from="45.1pt,1.85pt" to="223.3pt,1.85pt"/>
              </w:pict>
            </w:r>
          </w:p>
        </w:tc>
      </w:tr>
      <w:tr w:rsidR="008F000C" w:rsidRPr="007C4161" w:rsidTr="008F000C">
        <w:trPr>
          <w:trHeight w:val="126"/>
        </w:trPr>
        <w:tc>
          <w:tcPr>
            <w:tcW w:w="4581" w:type="dxa"/>
          </w:tcPr>
          <w:p w:rsidR="008F000C" w:rsidRPr="007C4161" w:rsidRDefault="008F000C" w:rsidP="00AB05C0">
            <w:pPr>
              <w:spacing w:before="0" w:line="240" w:lineRule="auto"/>
              <w:ind w:firstLine="0"/>
              <w:jc w:val="center"/>
              <w:rPr>
                <w:color w:val="000000"/>
              </w:rPr>
            </w:pPr>
          </w:p>
        </w:tc>
        <w:tc>
          <w:tcPr>
            <w:tcW w:w="6107" w:type="dxa"/>
          </w:tcPr>
          <w:p w:rsidR="008F000C" w:rsidRPr="007C4161" w:rsidRDefault="008F000C" w:rsidP="00AB05C0">
            <w:pPr>
              <w:keepNext/>
              <w:spacing w:before="0" w:line="240" w:lineRule="auto"/>
              <w:ind w:left="-101" w:firstLine="0"/>
              <w:jc w:val="center"/>
              <w:outlineLvl w:val="3"/>
              <w:rPr>
                <w:i/>
                <w:color w:val="000000"/>
              </w:rPr>
            </w:pPr>
            <w:r w:rsidRPr="007C4161">
              <w:rPr>
                <w:i/>
                <w:color w:val="000000"/>
              </w:rPr>
              <w:t>Hà Nội, ngày 15 tháng  8   năm 2014</w:t>
            </w:r>
          </w:p>
        </w:tc>
      </w:tr>
    </w:tbl>
    <w:p w:rsidR="008F000C" w:rsidRPr="007C4161" w:rsidRDefault="008F000C" w:rsidP="008F000C">
      <w:pPr>
        <w:rPr>
          <w:b/>
          <w:bCs/>
          <w:color w:val="000000"/>
          <w:lang/>
        </w:rPr>
      </w:pPr>
    </w:p>
    <w:p w:rsidR="008F000C" w:rsidRPr="007C4161" w:rsidRDefault="008F000C" w:rsidP="008F000C">
      <w:pPr>
        <w:rPr>
          <w:b/>
          <w:bCs/>
          <w:color w:val="000000"/>
          <w:lang/>
        </w:rPr>
      </w:pPr>
    </w:p>
    <w:p w:rsidR="008F000C" w:rsidRPr="007C4161" w:rsidRDefault="008F000C" w:rsidP="008F000C">
      <w:pPr>
        <w:ind w:firstLine="0"/>
        <w:jc w:val="center"/>
        <w:rPr>
          <w:b/>
          <w:bCs/>
          <w:color w:val="000000"/>
          <w:lang/>
        </w:rPr>
      </w:pPr>
      <w:r w:rsidRPr="007C4161">
        <w:rPr>
          <w:b/>
          <w:bCs/>
          <w:color w:val="000000"/>
          <w:lang/>
        </w:rPr>
        <w:t>QUYẾT ĐỊNH</w:t>
      </w:r>
    </w:p>
    <w:p w:rsidR="008F000C" w:rsidRPr="007C4161" w:rsidRDefault="008F000C" w:rsidP="008F000C">
      <w:pPr>
        <w:spacing w:before="60" w:line="240" w:lineRule="auto"/>
        <w:ind w:firstLine="0"/>
        <w:jc w:val="center"/>
        <w:rPr>
          <w:b/>
          <w:bCs/>
        </w:rPr>
      </w:pPr>
      <w:r w:rsidRPr="007C4161">
        <w:rPr>
          <w:b/>
          <w:bCs/>
        </w:rPr>
        <w:t>Về việc Điều tra tiềm lực khoa học và công nghệ 2014</w:t>
      </w:r>
    </w:p>
    <w:p w:rsidR="008F000C" w:rsidRPr="007C4161" w:rsidRDefault="008F000C" w:rsidP="008F000C">
      <w:pPr>
        <w:spacing w:before="0" w:line="240" w:lineRule="auto"/>
        <w:ind w:firstLine="0"/>
        <w:jc w:val="center"/>
        <w:rPr>
          <w:b/>
          <w:bCs/>
        </w:rPr>
      </w:pPr>
      <w:r w:rsidRPr="007C4161">
        <w:rPr>
          <w:b/>
          <w:bCs/>
          <w:noProof/>
        </w:rPr>
        <w:pict>
          <v:line id="_x0000_s1028" style="position:absolute;left:0;text-align:left;z-index:251662336" from="165.25pt,5pt" to="300.25pt,5pt"/>
        </w:pict>
      </w:r>
    </w:p>
    <w:p w:rsidR="008F000C" w:rsidRPr="007C4161" w:rsidRDefault="008F000C" w:rsidP="008F000C">
      <w:pPr>
        <w:spacing w:before="0" w:line="240" w:lineRule="auto"/>
        <w:ind w:firstLine="0"/>
        <w:jc w:val="center"/>
        <w:rPr>
          <w:b/>
          <w:bCs/>
        </w:rPr>
      </w:pPr>
    </w:p>
    <w:p w:rsidR="008F000C" w:rsidRPr="007C4161" w:rsidRDefault="008F000C" w:rsidP="008F000C">
      <w:pPr>
        <w:ind w:firstLine="0"/>
        <w:jc w:val="center"/>
        <w:rPr>
          <w:b/>
          <w:bCs/>
          <w:lang/>
        </w:rPr>
      </w:pPr>
      <w:r w:rsidRPr="007C4161">
        <w:rPr>
          <w:b/>
          <w:bCs/>
          <w:lang/>
        </w:rPr>
        <w:t>BỘ TRƯỞNG</w:t>
      </w:r>
    </w:p>
    <w:p w:rsidR="008F000C" w:rsidRPr="007C4161" w:rsidRDefault="008F000C" w:rsidP="008F000C">
      <w:pPr>
        <w:spacing w:before="0" w:line="240" w:lineRule="auto"/>
        <w:ind w:firstLine="0"/>
        <w:jc w:val="center"/>
        <w:rPr>
          <w:b/>
          <w:bCs/>
        </w:rPr>
      </w:pPr>
      <w:r w:rsidRPr="007C4161">
        <w:rPr>
          <w:b/>
          <w:bCs/>
        </w:rPr>
        <w:t>BỘ KHOA HỌC VÀ CÔNG NGHỆ</w:t>
      </w:r>
    </w:p>
    <w:p w:rsidR="008F000C" w:rsidRPr="007C4161" w:rsidRDefault="008F000C" w:rsidP="008F000C">
      <w:pPr>
        <w:tabs>
          <w:tab w:val="left" w:pos="360"/>
        </w:tabs>
        <w:spacing w:before="360" w:line="240" w:lineRule="auto"/>
        <w:ind w:firstLine="567"/>
        <w:rPr>
          <w:lang/>
        </w:rPr>
      </w:pPr>
      <w:r w:rsidRPr="007C4161">
        <w:rPr>
          <w:lang/>
        </w:rPr>
        <w:t xml:space="preserve">Căn cứ Luật Thống kê ngày 26 tháng 6 năm 2003; </w:t>
      </w:r>
    </w:p>
    <w:p w:rsidR="008F000C" w:rsidRPr="007C4161" w:rsidRDefault="008F000C" w:rsidP="008F000C">
      <w:pPr>
        <w:tabs>
          <w:tab w:val="left" w:pos="360"/>
        </w:tabs>
        <w:spacing w:line="240" w:lineRule="auto"/>
        <w:ind w:firstLine="567"/>
        <w:rPr>
          <w:color w:val="000000"/>
          <w:lang/>
        </w:rPr>
      </w:pPr>
      <w:r w:rsidRPr="007C4161">
        <w:rPr>
          <w:color w:val="000000"/>
          <w:lang/>
        </w:rPr>
        <w:t>Căn cứ Nghị định 20/2013/NĐ-CP ngày 26 tháng 2 năm 2013 của Chính phủ quy định chức năng, nhiệm vụ, quyền hạn và cơ cấu tổ chức của Bộ Khoa học và Công nghệ;</w:t>
      </w:r>
    </w:p>
    <w:p w:rsidR="008F000C" w:rsidRPr="007C4161" w:rsidRDefault="008F000C" w:rsidP="008F000C">
      <w:pPr>
        <w:tabs>
          <w:tab w:val="left" w:pos="360"/>
        </w:tabs>
        <w:spacing w:line="240" w:lineRule="auto"/>
        <w:ind w:firstLine="567"/>
        <w:rPr>
          <w:color w:val="000000"/>
          <w:lang/>
        </w:rPr>
      </w:pPr>
      <w:r w:rsidRPr="007C4161">
        <w:rPr>
          <w:color w:val="000000"/>
          <w:lang/>
        </w:rPr>
        <w:t>Căn cứ Nghị định số 30/2006/NĐ-CP ngày 29 tháng 3 năm 2006 của Chính phủ về thống kê khoa học và công nghệ;</w:t>
      </w:r>
    </w:p>
    <w:p w:rsidR="008F000C" w:rsidRPr="007C4161" w:rsidRDefault="008F000C" w:rsidP="008F000C">
      <w:pPr>
        <w:tabs>
          <w:tab w:val="left" w:pos="360"/>
          <w:tab w:val="left" w:pos="720"/>
          <w:tab w:val="left" w:pos="5936"/>
        </w:tabs>
        <w:spacing w:before="60" w:line="240" w:lineRule="auto"/>
        <w:ind w:firstLine="567"/>
        <w:rPr>
          <w:iCs/>
          <w:lang/>
        </w:rPr>
      </w:pPr>
      <w:r w:rsidRPr="007C4161">
        <w:rPr>
          <w:iCs/>
          <w:lang/>
        </w:rPr>
        <w:t>Căn cứ Quyết định số 803/Q</w:t>
      </w:r>
      <w:r w:rsidRPr="007C4161">
        <w:rPr>
          <w:rFonts w:hint="eastAsia"/>
          <w:iCs/>
          <w:lang/>
        </w:rPr>
        <w:t>Đ</w:t>
      </w:r>
      <w:r w:rsidRPr="007C4161">
        <w:rPr>
          <w:iCs/>
          <w:lang/>
        </w:rPr>
        <w:t>-TTg ngày 28 tháng 06 n</w:t>
      </w:r>
      <w:r w:rsidRPr="007C4161">
        <w:rPr>
          <w:rFonts w:hint="eastAsia"/>
          <w:iCs/>
          <w:lang/>
        </w:rPr>
        <w:t>ă</w:t>
      </w:r>
      <w:r w:rsidRPr="007C4161">
        <w:rPr>
          <w:iCs/>
          <w:lang/>
        </w:rPr>
        <w:t>m 2012 của Thủ t</w:t>
      </w:r>
      <w:r w:rsidRPr="007C4161">
        <w:rPr>
          <w:rFonts w:hint="eastAsia"/>
          <w:iCs/>
          <w:lang/>
        </w:rPr>
        <w:t>ư</w:t>
      </w:r>
      <w:r w:rsidRPr="007C4161">
        <w:rPr>
          <w:iCs/>
          <w:lang/>
        </w:rPr>
        <w:t>ớng Chính phủ về việc ban hành Ch</w:t>
      </w:r>
      <w:r w:rsidRPr="007C4161">
        <w:rPr>
          <w:rFonts w:hint="eastAsia"/>
          <w:iCs/>
          <w:lang/>
        </w:rPr>
        <w:t>ươ</w:t>
      </w:r>
      <w:r w:rsidRPr="007C4161">
        <w:rPr>
          <w:iCs/>
          <w:lang/>
        </w:rPr>
        <w:t xml:space="preserve">ng trình </w:t>
      </w:r>
      <w:r w:rsidRPr="007C4161">
        <w:rPr>
          <w:rFonts w:hint="eastAsia"/>
          <w:iCs/>
          <w:lang/>
        </w:rPr>
        <w:t>đ</w:t>
      </w:r>
      <w:r w:rsidRPr="007C4161">
        <w:rPr>
          <w:iCs/>
          <w:lang/>
        </w:rPr>
        <w:t>iều tra thống kê quốc gia;</w:t>
      </w:r>
    </w:p>
    <w:p w:rsidR="008F000C" w:rsidRPr="007C4161" w:rsidRDefault="008F000C" w:rsidP="008F000C">
      <w:pPr>
        <w:tabs>
          <w:tab w:val="left" w:pos="360"/>
        </w:tabs>
        <w:spacing w:line="240" w:lineRule="auto"/>
        <w:ind w:firstLine="567"/>
        <w:rPr>
          <w:iCs/>
          <w:color w:val="000000"/>
          <w:lang/>
        </w:rPr>
      </w:pPr>
      <w:r w:rsidRPr="007C4161">
        <w:rPr>
          <w:iCs/>
          <w:color w:val="000000"/>
          <w:lang/>
        </w:rPr>
        <w:t>Căn cứ Công văn số 569/TCTK-PPCĐ ngày 11 tháng 8 năm 2014 của Tổng cục trưởng Tổng cục Thống kê về thẩm định phương án Điều tra Tiềm lực khoa học và công nghệ năm 2014;</w:t>
      </w:r>
    </w:p>
    <w:p w:rsidR="008F000C" w:rsidRPr="007C4161" w:rsidRDefault="008F000C" w:rsidP="008F000C">
      <w:pPr>
        <w:tabs>
          <w:tab w:val="left" w:pos="720"/>
          <w:tab w:val="left" w:pos="5936"/>
        </w:tabs>
        <w:spacing w:before="60" w:line="240" w:lineRule="auto"/>
        <w:ind w:firstLine="567"/>
        <w:rPr>
          <w:i/>
          <w:lang/>
        </w:rPr>
      </w:pPr>
      <w:r w:rsidRPr="007C4161">
        <w:rPr>
          <w:iCs/>
          <w:lang/>
        </w:rPr>
        <w:t xml:space="preserve">Xét đề nghị của Cục trưởng Cục Thông tin </w:t>
      </w:r>
      <w:r w:rsidRPr="007C4161">
        <w:rPr>
          <w:iCs/>
          <w:lang/>
        </w:rPr>
        <w:t>k</w:t>
      </w:r>
      <w:r w:rsidRPr="007C4161">
        <w:rPr>
          <w:iCs/>
          <w:lang/>
        </w:rPr>
        <w:t xml:space="preserve">hoa học và </w:t>
      </w:r>
      <w:r w:rsidRPr="007C4161">
        <w:rPr>
          <w:iCs/>
          <w:lang/>
        </w:rPr>
        <w:t>c</w:t>
      </w:r>
      <w:r w:rsidRPr="007C4161">
        <w:rPr>
          <w:iCs/>
          <w:lang/>
        </w:rPr>
        <w:t xml:space="preserve">ông nghệ </w:t>
      </w:r>
      <w:r w:rsidRPr="007C4161">
        <w:rPr>
          <w:iCs/>
          <w:lang/>
        </w:rPr>
        <w:t>q</w:t>
      </w:r>
      <w:r w:rsidRPr="007C4161">
        <w:rPr>
          <w:iCs/>
          <w:lang/>
        </w:rPr>
        <w:t>uốc gia</w:t>
      </w:r>
      <w:r w:rsidRPr="007C4161">
        <w:rPr>
          <w:i/>
          <w:lang/>
        </w:rPr>
        <w:t>,</w:t>
      </w:r>
    </w:p>
    <w:p w:rsidR="008F000C" w:rsidRPr="007C4161" w:rsidRDefault="008F000C" w:rsidP="008F000C">
      <w:pPr>
        <w:rPr>
          <w:b/>
          <w:lang/>
        </w:rPr>
      </w:pPr>
    </w:p>
    <w:p w:rsidR="008F000C" w:rsidRPr="007C4161" w:rsidRDefault="008F000C" w:rsidP="008F000C">
      <w:pPr>
        <w:jc w:val="center"/>
        <w:rPr>
          <w:b/>
          <w:lang/>
        </w:rPr>
      </w:pPr>
      <w:r w:rsidRPr="007C4161">
        <w:rPr>
          <w:b/>
          <w:lang/>
        </w:rPr>
        <w:t>QUYẾT ĐỊNH:</w:t>
      </w:r>
    </w:p>
    <w:p w:rsidR="008F000C" w:rsidRPr="007C4161" w:rsidRDefault="008F000C" w:rsidP="008F000C">
      <w:pPr>
        <w:tabs>
          <w:tab w:val="left" w:pos="360"/>
        </w:tabs>
        <w:spacing w:before="0" w:line="340" w:lineRule="exact"/>
        <w:ind w:firstLine="0"/>
        <w:rPr>
          <w:b/>
        </w:rPr>
      </w:pPr>
      <w:r w:rsidRPr="007C4161">
        <w:rPr>
          <w:b/>
        </w:rPr>
        <w:tab/>
      </w:r>
      <w:r w:rsidRPr="007C4161">
        <w:rPr>
          <w:b/>
        </w:rPr>
        <w:tab/>
      </w:r>
    </w:p>
    <w:p w:rsidR="008F000C" w:rsidRPr="007C4161" w:rsidRDefault="008F000C" w:rsidP="008F000C">
      <w:pPr>
        <w:tabs>
          <w:tab w:val="left" w:pos="360"/>
        </w:tabs>
        <w:spacing w:before="0" w:after="240" w:line="240" w:lineRule="auto"/>
        <w:ind w:firstLine="567"/>
      </w:pPr>
      <w:r w:rsidRPr="007C4161">
        <w:rPr>
          <w:b/>
        </w:rPr>
        <w:t>Điều 1.</w:t>
      </w:r>
      <w:r w:rsidRPr="007C4161">
        <w:t xml:space="preserve"> Tiến hành Điều tra tiềm lực khoa học và công nghệ năm 2014 </w:t>
      </w:r>
      <w:r w:rsidRPr="007C4161">
        <w:rPr>
          <w:color w:val="000000"/>
        </w:rPr>
        <w:t>từ ngày 01/9/2014 đến 30/9/2014 theo Phương án được ban hành kèm theo Quyết định này</w:t>
      </w:r>
      <w:r w:rsidRPr="007C4161">
        <w:t xml:space="preserve">. </w:t>
      </w:r>
    </w:p>
    <w:p w:rsidR="008F000C" w:rsidRPr="007C4161" w:rsidRDefault="008F000C" w:rsidP="008F000C">
      <w:pPr>
        <w:tabs>
          <w:tab w:val="left" w:pos="1080"/>
        </w:tabs>
        <w:spacing w:before="0" w:after="240" w:line="240" w:lineRule="auto"/>
        <w:ind w:firstLine="567"/>
      </w:pPr>
      <w:r w:rsidRPr="007C4161">
        <w:rPr>
          <w:b/>
        </w:rPr>
        <w:t xml:space="preserve">Điều 2. </w:t>
      </w:r>
      <w:r w:rsidRPr="007C4161">
        <w:t xml:space="preserve">Giao Cục Thông tin khoa học và công nghệ quốc gia chủ trì và phối hợp với các đơn vị liên quan tổ chức thực hiện Điều tra tiềm lực khoa học và công nghệ năm 2014 </w:t>
      </w:r>
      <w:r w:rsidRPr="007C4161">
        <w:rPr>
          <w:bCs/>
          <w:color w:val="000000"/>
        </w:rPr>
        <w:t>theo đúng kế hoạch, nội dung và p</w:t>
      </w:r>
      <w:r w:rsidRPr="007C4161">
        <w:t>hương án quy định. Kinh phí thực hiện Điều tra tiềm lực khoa học và công nghệ năm 2014 được lấy từ kinh phí thực hiện nhiệm vụ thống kê khoa học và công nghệ năm 2014 đã được giao cho Cục Thông tin khoa học và công nghệ quốc gia.</w:t>
      </w:r>
    </w:p>
    <w:p w:rsidR="008F000C" w:rsidRPr="007C4161" w:rsidRDefault="008F000C" w:rsidP="008F000C">
      <w:pPr>
        <w:tabs>
          <w:tab w:val="left" w:pos="1080"/>
        </w:tabs>
        <w:spacing w:before="0" w:after="240" w:line="240" w:lineRule="auto"/>
        <w:ind w:firstLine="567"/>
      </w:pPr>
      <w:r w:rsidRPr="007C4161">
        <w:rPr>
          <w:b/>
        </w:rPr>
        <w:lastRenderedPageBreak/>
        <w:t>Điều 3.</w:t>
      </w:r>
      <w:r w:rsidRPr="007C4161">
        <w:t xml:space="preserve"> Quyết định có hiệu lực thi hành kể từ ngày ký. Cục trưởng Cục Thông tin khoa học và công nghệ quốc gia, Thủ trưởng các đơn vị trực thuộc Bộ và Thủ trưởng các cơ quan có liên quan chịu trách nhiệm thi hành Quyết định này.</w:t>
      </w:r>
    </w:p>
    <w:p w:rsidR="008F000C" w:rsidRPr="007C4161" w:rsidRDefault="008F000C" w:rsidP="008F000C">
      <w:pPr>
        <w:tabs>
          <w:tab w:val="left" w:pos="1080"/>
        </w:tabs>
        <w:spacing w:before="240" w:line="340" w:lineRule="exact"/>
        <w:ind w:firstLine="0"/>
        <w:rPr>
          <w:color w:val="000000"/>
        </w:rPr>
      </w:pPr>
    </w:p>
    <w:tbl>
      <w:tblPr>
        <w:tblW w:w="9781" w:type="dxa"/>
        <w:tblInd w:w="108" w:type="dxa"/>
        <w:tblLook w:val="01E0"/>
      </w:tblPr>
      <w:tblGrid>
        <w:gridCol w:w="5387"/>
        <w:gridCol w:w="4394"/>
      </w:tblGrid>
      <w:tr w:rsidR="008F000C" w:rsidRPr="007C4161" w:rsidTr="00AB05C0">
        <w:trPr>
          <w:trHeight w:val="853"/>
        </w:trPr>
        <w:tc>
          <w:tcPr>
            <w:tcW w:w="5387" w:type="dxa"/>
          </w:tcPr>
          <w:p w:rsidR="008F000C" w:rsidRPr="007C4161" w:rsidRDefault="008F000C" w:rsidP="00AB05C0">
            <w:pPr>
              <w:tabs>
                <w:tab w:val="left" w:pos="360"/>
              </w:tabs>
              <w:spacing w:before="240" w:line="240" w:lineRule="auto"/>
              <w:ind w:firstLine="0"/>
              <w:jc w:val="left"/>
              <w:rPr>
                <w:b/>
                <w:i/>
                <w:iCs/>
                <w:color w:val="000000"/>
                <w:sz w:val="22"/>
                <w:szCs w:val="22"/>
              </w:rPr>
            </w:pPr>
            <w:r w:rsidRPr="007C4161">
              <w:rPr>
                <w:b/>
                <w:i/>
                <w:iCs/>
                <w:color w:val="000000"/>
                <w:sz w:val="22"/>
                <w:szCs w:val="22"/>
              </w:rPr>
              <w:t>Nơi nhận:</w:t>
            </w:r>
          </w:p>
          <w:p w:rsidR="008F000C" w:rsidRPr="007C4161" w:rsidRDefault="008F000C" w:rsidP="00AB05C0">
            <w:pPr>
              <w:tabs>
                <w:tab w:val="left" w:pos="360"/>
              </w:tabs>
              <w:spacing w:before="0" w:line="240" w:lineRule="auto"/>
              <w:ind w:firstLine="0"/>
              <w:jc w:val="left"/>
              <w:rPr>
                <w:color w:val="000000"/>
                <w:sz w:val="20"/>
                <w:szCs w:val="20"/>
              </w:rPr>
            </w:pPr>
            <w:r w:rsidRPr="007C4161">
              <w:rPr>
                <w:color w:val="000000"/>
                <w:sz w:val="20"/>
                <w:szCs w:val="20"/>
              </w:rPr>
              <w:t>- Như Điều 3;</w:t>
            </w:r>
          </w:p>
          <w:p w:rsidR="008F000C" w:rsidRPr="007C4161" w:rsidRDefault="008F000C" w:rsidP="00AB05C0">
            <w:pPr>
              <w:tabs>
                <w:tab w:val="left" w:pos="360"/>
              </w:tabs>
              <w:spacing w:before="0" w:line="240" w:lineRule="auto"/>
              <w:ind w:firstLine="0"/>
              <w:jc w:val="left"/>
              <w:rPr>
                <w:color w:val="000000"/>
                <w:sz w:val="20"/>
                <w:szCs w:val="20"/>
              </w:rPr>
            </w:pPr>
            <w:r w:rsidRPr="007C4161">
              <w:rPr>
                <w:color w:val="000000"/>
                <w:sz w:val="20"/>
                <w:szCs w:val="20"/>
              </w:rPr>
              <w:t>- Các Bộ, cơ quan ngang Bộ, cơ quan thuộc Chính phủ;</w:t>
            </w:r>
          </w:p>
          <w:p w:rsidR="008F000C" w:rsidRPr="007C4161" w:rsidRDefault="008F000C" w:rsidP="00AB05C0">
            <w:pPr>
              <w:tabs>
                <w:tab w:val="left" w:pos="360"/>
              </w:tabs>
              <w:spacing w:before="0" w:line="240" w:lineRule="auto"/>
              <w:ind w:firstLine="0"/>
              <w:jc w:val="left"/>
              <w:rPr>
                <w:color w:val="000000"/>
                <w:sz w:val="20"/>
                <w:szCs w:val="20"/>
              </w:rPr>
            </w:pPr>
            <w:r w:rsidRPr="007C4161">
              <w:rPr>
                <w:color w:val="000000"/>
                <w:sz w:val="20"/>
                <w:szCs w:val="20"/>
              </w:rPr>
              <w:t>- UBND các tỉnh, thành phố trực thuộc TW;</w:t>
            </w:r>
          </w:p>
          <w:p w:rsidR="008F000C" w:rsidRPr="007C4161" w:rsidRDefault="008F000C" w:rsidP="00AB05C0">
            <w:pPr>
              <w:tabs>
                <w:tab w:val="left" w:pos="360"/>
              </w:tabs>
              <w:spacing w:before="0" w:line="240" w:lineRule="auto"/>
              <w:ind w:firstLine="0"/>
              <w:jc w:val="left"/>
              <w:rPr>
                <w:color w:val="000000"/>
                <w:sz w:val="20"/>
                <w:szCs w:val="20"/>
              </w:rPr>
            </w:pPr>
            <w:r w:rsidRPr="007C4161">
              <w:rPr>
                <w:color w:val="000000"/>
                <w:sz w:val="20"/>
                <w:szCs w:val="20"/>
              </w:rPr>
              <w:t>- Sở KH&amp;CN các tỉnh, thành phố trực thuộc TW;</w:t>
            </w:r>
          </w:p>
          <w:p w:rsidR="008F000C" w:rsidRPr="007C4161" w:rsidRDefault="008F000C" w:rsidP="00AB05C0">
            <w:pPr>
              <w:tabs>
                <w:tab w:val="left" w:pos="360"/>
              </w:tabs>
              <w:spacing w:before="0" w:line="240" w:lineRule="auto"/>
              <w:ind w:firstLine="0"/>
              <w:jc w:val="left"/>
              <w:rPr>
                <w:color w:val="000000"/>
                <w:sz w:val="20"/>
                <w:szCs w:val="20"/>
              </w:rPr>
            </w:pPr>
            <w:r w:rsidRPr="007C4161">
              <w:rPr>
                <w:color w:val="000000"/>
                <w:sz w:val="20"/>
                <w:szCs w:val="20"/>
              </w:rPr>
              <w:t>- Tổng cục Thống kê;</w:t>
            </w:r>
          </w:p>
          <w:p w:rsidR="008F000C" w:rsidRPr="007C4161" w:rsidRDefault="008F000C" w:rsidP="00AB05C0">
            <w:pPr>
              <w:tabs>
                <w:tab w:val="left" w:pos="360"/>
              </w:tabs>
              <w:spacing w:before="0" w:line="240" w:lineRule="auto"/>
              <w:ind w:firstLine="0"/>
              <w:jc w:val="left"/>
              <w:rPr>
                <w:color w:val="000000"/>
                <w:sz w:val="20"/>
                <w:szCs w:val="20"/>
              </w:rPr>
            </w:pPr>
            <w:r w:rsidRPr="007C4161">
              <w:rPr>
                <w:color w:val="000000"/>
                <w:sz w:val="20"/>
                <w:szCs w:val="20"/>
              </w:rPr>
              <w:t>- Các tổ chức KH&amp;CN;</w:t>
            </w:r>
          </w:p>
          <w:p w:rsidR="008F000C" w:rsidRPr="007C4161" w:rsidRDefault="008F000C" w:rsidP="00AB05C0">
            <w:pPr>
              <w:tabs>
                <w:tab w:val="left" w:pos="360"/>
              </w:tabs>
              <w:spacing w:before="0" w:line="240" w:lineRule="auto"/>
              <w:ind w:firstLine="0"/>
              <w:jc w:val="left"/>
              <w:rPr>
                <w:color w:val="000000"/>
              </w:rPr>
            </w:pPr>
            <w:r w:rsidRPr="007C4161">
              <w:rPr>
                <w:color w:val="000000"/>
                <w:sz w:val="20"/>
                <w:szCs w:val="20"/>
              </w:rPr>
              <w:t>- Lưu VT, TTKHCN.</w:t>
            </w:r>
          </w:p>
        </w:tc>
        <w:tc>
          <w:tcPr>
            <w:tcW w:w="4394" w:type="dxa"/>
          </w:tcPr>
          <w:p w:rsidR="008F000C" w:rsidRPr="007C4161" w:rsidRDefault="008F000C" w:rsidP="00AB05C0">
            <w:pPr>
              <w:keepNext/>
              <w:spacing w:before="40" w:line="240" w:lineRule="auto"/>
              <w:ind w:firstLine="0"/>
              <w:jc w:val="center"/>
              <w:outlineLvl w:val="6"/>
              <w:rPr>
                <w:b/>
                <w:color w:val="000000"/>
              </w:rPr>
            </w:pPr>
            <w:r w:rsidRPr="007C4161">
              <w:rPr>
                <w:b/>
                <w:color w:val="000000"/>
              </w:rPr>
              <w:t>KT. BỘ TRƯỞNG</w:t>
            </w:r>
          </w:p>
          <w:p w:rsidR="008F000C" w:rsidRPr="007C4161" w:rsidRDefault="008F000C" w:rsidP="00AB05C0">
            <w:pPr>
              <w:spacing w:before="0" w:line="240" w:lineRule="auto"/>
              <w:ind w:firstLine="0"/>
              <w:jc w:val="center"/>
              <w:rPr>
                <w:b/>
                <w:color w:val="000000"/>
              </w:rPr>
            </w:pPr>
            <w:r w:rsidRPr="007C4161">
              <w:rPr>
                <w:b/>
                <w:color w:val="000000"/>
              </w:rPr>
              <w:t>THỨ TRƯỞNG</w:t>
            </w:r>
          </w:p>
          <w:p w:rsidR="008F000C" w:rsidRPr="007C4161" w:rsidRDefault="008F000C" w:rsidP="00AB05C0">
            <w:pPr>
              <w:spacing w:before="0" w:line="240" w:lineRule="auto"/>
              <w:ind w:firstLine="0"/>
              <w:jc w:val="center"/>
              <w:rPr>
                <w:b/>
                <w:color w:val="000000"/>
              </w:rPr>
            </w:pPr>
          </w:p>
          <w:p w:rsidR="008F000C" w:rsidRPr="007C4161" w:rsidRDefault="008F000C" w:rsidP="00AB05C0">
            <w:pPr>
              <w:spacing w:before="0" w:line="240" w:lineRule="auto"/>
              <w:ind w:firstLine="0"/>
              <w:jc w:val="center"/>
              <w:rPr>
                <w:b/>
                <w:color w:val="000000"/>
              </w:rPr>
            </w:pPr>
          </w:p>
          <w:p w:rsidR="008F000C" w:rsidRPr="007C4161" w:rsidRDefault="008F000C" w:rsidP="00AB05C0">
            <w:pPr>
              <w:spacing w:before="0" w:line="240" w:lineRule="auto"/>
              <w:ind w:firstLine="0"/>
              <w:jc w:val="center"/>
              <w:rPr>
                <w:b/>
                <w:color w:val="000000"/>
              </w:rPr>
            </w:pPr>
            <w:r>
              <w:rPr>
                <w:b/>
                <w:color w:val="000000"/>
              </w:rPr>
              <w:t>(đã ký)</w:t>
            </w:r>
          </w:p>
          <w:p w:rsidR="008F000C" w:rsidRDefault="008F000C" w:rsidP="00AB05C0">
            <w:pPr>
              <w:spacing w:before="0" w:line="240" w:lineRule="auto"/>
              <w:ind w:firstLine="0"/>
              <w:jc w:val="center"/>
              <w:rPr>
                <w:b/>
                <w:color w:val="000000"/>
              </w:rPr>
            </w:pPr>
          </w:p>
          <w:p w:rsidR="008F000C" w:rsidRPr="007C4161" w:rsidRDefault="008F000C" w:rsidP="00AB05C0">
            <w:pPr>
              <w:spacing w:before="0" w:line="240" w:lineRule="auto"/>
              <w:ind w:firstLine="0"/>
              <w:jc w:val="center"/>
              <w:rPr>
                <w:b/>
                <w:color w:val="000000"/>
              </w:rPr>
            </w:pPr>
          </w:p>
          <w:p w:rsidR="008F000C" w:rsidRPr="007C4161" w:rsidRDefault="008F000C" w:rsidP="00AB05C0">
            <w:pPr>
              <w:spacing w:before="0" w:line="240" w:lineRule="auto"/>
              <w:ind w:firstLine="0"/>
              <w:jc w:val="center"/>
              <w:rPr>
                <w:b/>
                <w:color w:val="000000"/>
              </w:rPr>
            </w:pPr>
          </w:p>
          <w:p w:rsidR="008F000C" w:rsidRPr="007C4161" w:rsidRDefault="008F000C" w:rsidP="00AB05C0">
            <w:pPr>
              <w:spacing w:before="0" w:line="240" w:lineRule="auto"/>
              <w:ind w:firstLine="0"/>
              <w:jc w:val="center"/>
              <w:rPr>
                <w:b/>
                <w:color w:val="000000"/>
              </w:rPr>
            </w:pPr>
            <w:r w:rsidRPr="007C4161">
              <w:rPr>
                <w:b/>
                <w:color w:val="000000"/>
              </w:rPr>
              <w:t>Trần Việt Thanh</w:t>
            </w:r>
          </w:p>
        </w:tc>
      </w:tr>
    </w:tbl>
    <w:p w:rsidR="009D5168" w:rsidRDefault="009D5168"/>
    <w:sectPr w:rsidR="009D5168" w:rsidSect="00600570">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0"/>
  <w:displayVerticalDrawingGridEvery w:val="2"/>
  <w:characterSpacingControl w:val="doNotCompress"/>
  <w:compat/>
  <w:rsids>
    <w:rsidRoot w:val="008F000C"/>
    <w:rsid w:val="00040650"/>
    <w:rsid w:val="000D5E4F"/>
    <w:rsid w:val="0017709C"/>
    <w:rsid w:val="001E05F0"/>
    <w:rsid w:val="002544DD"/>
    <w:rsid w:val="002631C3"/>
    <w:rsid w:val="002765DF"/>
    <w:rsid w:val="00302C8C"/>
    <w:rsid w:val="00347C71"/>
    <w:rsid w:val="00386754"/>
    <w:rsid w:val="003B0CB5"/>
    <w:rsid w:val="003D36C3"/>
    <w:rsid w:val="003E55F5"/>
    <w:rsid w:val="00471211"/>
    <w:rsid w:val="004A3A54"/>
    <w:rsid w:val="004C25B6"/>
    <w:rsid w:val="00524509"/>
    <w:rsid w:val="0053055F"/>
    <w:rsid w:val="00531E62"/>
    <w:rsid w:val="00596C1A"/>
    <w:rsid w:val="005B1286"/>
    <w:rsid w:val="005E01E1"/>
    <w:rsid w:val="00600570"/>
    <w:rsid w:val="00603590"/>
    <w:rsid w:val="007857AB"/>
    <w:rsid w:val="007F10BF"/>
    <w:rsid w:val="007F661E"/>
    <w:rsid w:val="008407BE"/>
    <w:rsid w:val="008B6BCE"/>
    <w:rsid w:val="008F000C"/>
    <w:rsid w:val="00973728"/>
    <w:rsid w:val="009D5168"/>
    <w:rsid w:val="00A06CDD"/>
    <w:rsid w:val="00B10762"/>
    <w:rsid w:val="00B35579"/>
    <w:rsid w:val="00BA12BD"/>
    <w:rsid w:val="00C8478F"/>
    <w:rsid w:val="00CB29E8"/>
    <w:rsid w:val="00CD64BC"/>
    <w:rsid w:val="00E306D4"/>
    <w:rsid w:val="00E377E4"/>
    <w:rsid w:val="00E62A5A"/>
    <w:rsid w:val="00EA649C"/>
    <w:rsid w:val="00F43476"/>
    <w:rsid w:val="00F57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0C"/>
    <w:pPr>
      <w:spacing w:after="0" w:line="240" w:lineRule="atLeast"/>
      <w:ind w:firstLine="720"/>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2014-09-03T07:17:00Z</dcterms:created>
  <dcterms:modified xsi:type="dcterms:W3CDTF">2014-09-03T07:19:00Z</dcterms:modified>
</cp:coreProperties>
</file>